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4B" w:rsidRDefault="00D9324B" w:rsidP="00D9324B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234315</wp:posOffset>
            </wp:positionV>
            <wp:extent cx="934720" cy="6521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245745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" name="Imagen 1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0</wp:posOffset>
            </wp:positionV>
            <wp:extent cx="904875" cy="723900"/>
            <wp:effectExtent l="0" t="0" r="9525" b="0"/>
            <wp:wrapSquare wrapText="bothSides"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24B" w:rsidRDefault="00D9324B" w:rsidP="00D9324B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D9324B" w:rsidRDefault="00D9324B" w:rsidP="00D9324B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D9324B" w:rsidRPr="00F242DB" w:rsidRDefault="00D9324B" w:rsidP="00D9324B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89"/>
        <w:gridCol w:w="1796"/>
        <w:gridCol w:w="26"/>
        <w:gridCol w:w="20"/>
        <w:gridCol w:w="142"/>
      </w:tblGrid>
      <w:tr w:rsidR="00D9324B" w:rsidRPr="00090E12" w:rsidTr="00D12A01">
        <w:trPr>
          <w:trHeight w:val="992"/>
        </w:trPr>
        <w:tc>
          <w:tcPr>
            <w:tcW w:w="1843" w:type="dxa"/>
            <w:vAlign w:val="center"/>
          </w:tcPr>
          <w:p w:rsidR="00D9324B" w:rsidRPr="00090E12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:rsidR="00D9324B" w:rsidRPr="003D0FAB" w:rsidRDefault="00D9324B" w:rsidP="00D12A01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:rsidR="00D9324B" w:rsidRPr="00090E12" w:rsidRDefault="00D9324B" w:rsidP="00D12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D9324B" w:rsidRPr="003D0FAB" w:rsidRDefault="00D9324B" w:rsidP="00D12A01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3D0FAB" w:rsidRDefault="00D9324B" w:rsidP="00D12A01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CHUQUISACA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Default="00D9324B" w:rsidP="00D12A0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:rsidR="00D9324B" w:rsidRPr="00A242D7" w:rsidRDefault="00D9324B" w:rsidP="00D12A0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3D0FAB" w:rsidRDefault="00D9324B" w:rsidP="00D12A01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D9324B" w:rsidRPr="003D0FAB" w:rsidRDefault="00D9324B" w:rsidP="00D12A01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3D0FAB" w:rsidRDefault="00D9324B" w:rsidP="00D12A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24B" w:rsidRPr="005F10D2" w:rsidRDefault="00D9324B" w:rsidP="00D12A01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4B" w:rsidRPr="005F10D2" w:rsidRDefault="00D9324B" w:rsidP="00D12A0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5F10D2" w:rsidRDefault="00D9324B" w:rsidP="00D12A0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B" w:rsidRPr="005F10D2" w:rsidRDefault="00D9324B" w:rsidP="00D12A01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B" w:rsidRPr="005F10D2" w:rsidRDefault="00D9324B" w:rsidP="00D12A01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9324B" w:rsidRPr="009A0D47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9324B" w:rsidRPr="009A0D47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FPS-01-00005630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CONST. SIST. ALCANTARILLADO SANITARIO MOLLE PUNKU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314340" w:rsidRDefault="00D9324B" w:rsidP="00D12A01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314340" w:rsidRDefault="00D9324B" w:rsidP="00D12A01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24B" w:rsidRPr="00314340" w:rsidRDefault="00D9324B" w:rsidP="00D12A01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>
              <w:rPr>
                <w:rFonts w:ascii="Arial Narrow" w:hAnsi="Arial Narrow" w:cs="Arial"/>
                <w:noProof/>
              </w:rPr>
              <w:t>1.549.443.09(Un millon quinientos cuarenta y nueve mil cuatroscientos cuarenta y tres 09/100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97091A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E63A7" w:rsidRDefault="00D9324B" w:rsidP="00D12A0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E63A7" w:rsidRDefault="00D9324B" w:rsidP="00D12A0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324B" w:rsidRPr="00314340" w:rsidRDefault="00D9324B" w:rsidP="00D12A01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rPr>
                <w:rFonts w:ascii="Arial Narrow" w:hAnsi="Arial Narrow" w:cs="Arial"/>
                <w:color w:val="FF0000"/>
              </w:rPr>
            </w:pPr>
            <w:proofErr w:type="spellStart"/>
            <w:r>
              <w:rPr>
                <w:rFonts w:ascii="Arial Narrow" w:hAnsi="Arial Narrow" w:cs="Arial"/>
                <w:color w:val="FF0000"/>
              </w:rPr>
              <w:t>Comunidad:Molle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Punku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 xml:space="preserve">, Municipio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Yamparaez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>, Departamento Chuquisaca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97091A" w:rsidRDefault="00D9324B" w:rsidP="00D12A01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97091A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97091A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324B" w:rsidRPr="00314340" w:rsidRDefault="00D9324B" w:rsidP="00D12A01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97091A" w:rsidRDefault="00D9324B" w:rsidP="00D12A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250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dias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 xml:space="preserve">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324B" w:rsidRPr="00314340" w:rsidRDefault="00D9324B" w:rsidP="00D12A01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314340" w:rsidRDefault="00D9324B" w:rsidP="00D12A01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</w:t>
            </w:r>
            <w:r>
              <w:rPr>
                <w:rFonts w:ascii="Arial Narrow" w:hAnsi="Arial Narrow" w:cs="Arial"/>
              </w:rPr>
              <w:t>:00-16:00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314340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314340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314340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324B" w:rsidRPr="00314340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Monica Coria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Profesional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Tecnico</w:t>
            </w:r>
            <w:proofErr w:type="spellEnd"/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Jefatura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Tecnica</w:t>
            </w:r>
            <w:proofErr w:type="spellEnd"/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46451056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46452577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586D0A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="00D9324B" w:rsidRPr="007E27E3">
                <w:rPr>
                  <w:rStyle w:val="Hipervnculo"/>
                  <w:rFonts w:ascii="Arial" w:hAnsi="Arial" w:cs="Arial"/>
                  <w:sz w:val="16"/>
                  <w:szCs w:val="16"/>
                </w:rPr>
                <w:t>adquisicioneschuquisaca@fps.gob.bo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9324B" w:rsidRPr="00865073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9324B" w:rsidRPr="00FB523C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0000"/>
              </w:rPr>
              <w:t xml:space="preserve">Av. Emilio </w:t>
            </w:r>
            <w:proofErr w:type="spellStart"/>
            <w:r>
              <w:rPr>
                <w:rFonts w:ascii="Arial Narrow" w:hAnsi="Arial Narrow" w:cs="Calibri"/>
                <w:color w:val="FF0000"/>
              </w:rPr>
              <w:t>Mendizaval</w:t>
            </w:r>
            <w:proofErr w:type="spellEnd"/>
            <w:r>
              <w:rPr>
                <w:rFonts w:ascii="Arial Narrow" w:hAnsi="Arial Narrow" w:cs="Calibri"/>
                <w:color w:val="FF0000"/>
              </w:rPr>
              <w:t xml:space="preserve"> N° 572 Barrio Petrolero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9324B" w:rsidRPr="00FB523C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D9324B" w:rsidRPr="00FB523C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3D0FAB" w:rsidRDefault="00D9324B" w:rsidP="00D12A0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324B" w:rsidRPr="00FB523C" w:rsidRDefault="00586D0A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A5585">
              <w:rPr>
                <w:rFonts w:ascii="Arial Narrow" w:hAnsi="Arial Narrow" w:cs="Calibri"/>
                <w:color w:val="FF0000"/>
              </w:rPr>
              <w:t xml:space="preserve">Av. Emilio </w:t>
            </w:r>
            <w:proofErr w:type="spellStart"/>
            <w:r w:rsidRPr="006A5585">
              <w:rPr>
                <w:rFonts w:ascii="Arial Narrow" w:hAnsi="Arial Narrow" w:cs="Calibri"/>
                <w:color w:val="FF0000"/>
              </w:rPr>
              <w:t>Mendizaval</w:t>
            </w:r>
            <w:proofErr w:type="spellEnd"/>
            <w:r w:rsidRPr="006A5585">
              <w:rPr>
                <w:rFonts w:ascii="Arial Narrow" w:hAnsi="Arial Narrow" w:cs="Calibri"/>
                <w:color w:val="FF0000"/>
              </w:rPr>
              <w:t xml:space="preserve"> N° 572 Barrio Petrolero Transmitido por: https://meet.google.com/yak-ztoj-jru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9324B" w:rsidRPr="00FB523C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865073" w:rsidRDefault="00D9324B" w:rsidP="00D12A0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324B" w:rsidRPr="00865073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9324B" w:rsidRPr="00FB523C" w:rsidRDefault="00D9324B" w:rsidP="00D12A01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D9324B" w:rsidRPr="00090E12" w:rsidTr="00D12A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24B" w:rsidRPr="00090E12" w:rsidRDefault="00D9324B" w:rsidP="00D12A0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324B" w:rsidRPr="00090E12" w:rsidRDefault="00D9324B" w:rsidP="00D12A0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9324B" w:rsidRPr="00090E12" w:rsidRDefault="00D9324B" w:rsidP="00D12A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9324B" w:rsidRPr="00F242DB" w:rsidRDefault="00D9324B" w:rsidP="00D9324B">
      <w:pPr>
        <w:rPr>
          <w:rFonts w:ascii="Verdana" w:hAnsi="Verdana"/>
          <w:sz w:val="16"/>
          <w:szCs w:val="16"/>
        </w:rPr>
      </w:pPr>
    </w:p>
    <w:p w:rsidR="00D9324B" w:rsidRDefault="00D9324B" w:rsidP="00D9324B">
      <w:pPr>
        <w:rPr>
          <w:rFonts w:ascii="Calibri" w:hAnsi="Calibri" w:cs="Calibri"/>
          <w:b/>
          <w:sz w:val="18"/>
          <w:szCs w:val="18"/>
        </w:rPr>
      </w:pPr>
    </w:p>
    <w:p w:rsidR="001F6051" w:rsidRDefault="001F6051">
      <w:bookmarkStart w:id="0" w:name="_GoBack"/>
      <w:bookmarkEnd w:id="0"/>
    </w:p>
    <w:sectPr w:rsidR="001F6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20"/>
    <w:rsid w:val="001F6051"/>
    <w:rsid w:val="00586D0A"/>
    <w:rsid w:val="00703840"/>
    <w:rsid w:val="00962E52"/>
    <w:rsid w:val="00D65720"/>
    <w:rsid w:val="00D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99DE-73AE-434D-91FB-4CE89AA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9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chuquisac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2021-05-20T22:33:00Z</dcterms:created>
  <dcterms:modified xsi:type="dcterms:W3CDTF">2021-05-21T00:13:00Z</dcterms:modified>
</cp:coreProperties>
</file>